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3B1D7">
      <w:pPr>
        <w:widowControl/>
        <w:shd w:val="clear" w:color="auto" w:fill="FFFFFF"/>
        <w:spacing w:before="100" w:beforeAutospacing="1" w:after="100" w:afterAutospacing="1" w:line="450" w:lineRule="atLeast"/>
        <w:jc w:val="left"/>
        <w:rPr>
          <w:rFonts w:hint="eastAsia" w:ascii="黑体" w:hAnsi="黑体" w:eastAsia="黑体" w:cs="宋体"/>
          <w:b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宋体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159F3752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bookmarkStart w:id="3" w:name="_GoBack"/>
      <w:bookmarkStart w:id="0" w:name="_Hlk128515372"/>
      <w:r>
        <w:rPr>
          <w:rFonts w:hint="eastAsia" w:ascii="微软雅黑" w:hAnsi="微软雅黑" w:eastAsia="微软雅黑" w:cs="微软雅黑"/>
          <w:sz w:val="36"/>
          <w:szCs w:val="36"/>
        </w:rPr>
        <w:t>《维普论文检测系统》大学生版相关</w:t>
      </w:r>
      <w:r>
        <w:rPr>
          <w:rFonts w:hint="eastAsia" w:ascii="微软雅黑" w:hAnsi="微软雅黑" w:eastAsia="微软雅黑" w:cs="微软雅黑"/>
          <w:sz w:val="36"/>
          <w:szCs w:val="36"/>
          <w:lang w:eastAsia="zh-CN"/>
        </w:rPr>
        <w:t>查重</w:t>
      </w:r>
      <w:r>
        <w:rPr>
          <w:rFonts w:hint="eastAsia" w:ascii="微软雅黑" w:hAnsi="微软雅黑" w:eastAsia="微软雅黑" w:cs="微软雅黑"/>
          <w:sz w:val="36"/>
          <w:szCs w:val="36"/>
        </w:rPr>
        <w:t>指标说明</w:t>
      </w:r>
      <w:bookmarkEnd w:id="3"/>
      <w:bookmarkEnd w:id="0"/>
    </w:p>
    <w:p w14:paraId="09515B86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  <w:t>检测报告中的总字符数、总相似比、引用率、复写率和自写率是什么意思？</w:t>
      </w:r>
    </w:p>
    <w:p w14:paraId="10ABF5F5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检测字数：字数+符号=总字符数。</w:t>
      </w:r>
    </w:p>
    <w:p w14:paraId="2022745D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检测字数相当于word中字数统计中的字符数（不计空格）包括中文、阿拉伯数字、外文字符、标点符号等，制表符和图表不计入统计。</w:t>
      </w:r>
    </w:p>
    <w:p w14:paraId="4876E6A7">
      <w:pPr>
        <w:widowControl/>
        <w:spacing w:before="100" w:beforeAutospacing="1" w:after="100" w:afterAutospacing="1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drawing>
          <wp:inline distT="0" distB="0" distL="114300" distR="114300">
            <wp:extent cx="4752975" cy="1866900"/>
            <wp:effectExtent l="0" t="0" r="9525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5D180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 总相似比：即复写率、自引率、他引率与专业术语之和。</w:t>
      </w:r>
    </w:p>
    <w:p w14:paraId="72C0B8A5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3. 自写率：即送检论文中剔除雷同片段和引用片段后占整个送检论文的比重。 </w:t>
      </w:r>
    </w:p>
    <w:p w14:paraId="5B0D6093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 复写率：即送检论文中与检测范围所有文献比对样本相似的部分（不包括参考引用部分）占整个送检片段的比重。</w:t>
      </w:r>
    </w:p>
    <w:p w14:paraId="327D98A6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他引率：即引用他人的观点，并且该引用部分占整个送检论文的比重</w:t>
      </w:r>
    </w:p>
    <w:p w14:paraId="06DEDF2C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 专业术语：公式定理、法律条文、行业用语等占全文的比重。</w:t>
      </w:r>
    </w:p>
    <w:p w14:paraId="311F4207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 自引率：原创内容占全文的比重。</w:t>
      </w:r>
    </w:p>
    <w:p w14:paraId="79A43413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  <w:t>文档规范：</w:t>
      </w:r>
    </w:p>
    <w:p w14:paraId="71B347F9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维普论文检测系统可支持检测的文档格式有： word文件(.doc .docx) 、文本文件(.txt)、 PDF文件，文件大小在50M内，建议使用 doc 或 docx 文本提交检测。</w:t>
      </w:r>
    </w:p>
    <w:p w14:paraId="30729309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2. 单篇文件大小不超过 50M，文章总字数不超过 </w:t>
      </w:r>
      <w:r>
        <w:rPr>
          <w:rFonts w:hint="default" w:ascii="仿宋_GB2312" w:eastAsia="仿宋_GB2312"/>
          <w:sz w:val="28"/>
          <w:szCs w:val="28"/>
        </w:rPr>
        <w:t>25</w:t>
      </w:r>
      <w:r>
        <w:rPr>
          <w:rFonts w:hint="eastAsia" w:ascii="仿宋_GB2312" w:eastAsia="仿宋_GB2312"/>
          <w:sz w:val="28"/>
          <w:szCs w:val="28"/>
        </w:rPr>
        <w:t>万</w:t>
      </w:r>
      <w:r>
        <w:rPr>
          <w:rFonts w:hint="eastAsia" w:ascii="仿宋_GB2312" w:eastAsia="仿宋_GB2312"/>
          <w:sz w:val="28"/>
          <w:szCs w:val="28"/>
          <w:lang w:val="en-US" w:eastAsia="zh-Hans"/>
        </w:rPr>
        <w:t>字符</w:t>
      </w:r>
      <w:r>
        <w:rPr>
          <w:rFonts w:hint="eastAsia" w:ascii="仿宋_GB2312" w:eastAsia="仿宋_GB2312"/>
          <w:sz w:val="28"/>
          <w:szCs w:val="28"/>
        </w:rPr>
        <w:t>，如果文中图片较大，请采用QQ截图的方式替换文中图片。</w:t>
      </w:r>
    </w:p>
    <w:p w14:paraId="67594F07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default" w:ascii="仿宋_GB2312" w:eastAsia="仿宋_GB2312"/>
          <w:sz w:val="28"/>
          <w:szCs w:val="28"/>
          <w:lang w:val="en-US" w:eastAsia="zh-Hans"/>
        </w:rPr>
      </w:pPr>
      <w:r>
        <w:rPr>
          <w:rFonts w:hint="eastAsia" w:ascii="仿宋_GB2312" w:eastAsia="仿宋_GB2312"/>
          <w:sz w:val="28"/>
          <w:szCs w:val="28"/>
        </w:rPr>
        <w:t>3. 文件命名规则：</w:t>
      </w:r>
      <w:r>
        <w:rPr>
          <w:rFonts w:hint="eastAsia" w:ascii="仿宋_GB2312" w:eastAsia="仿宋_GB2312"/>
          <w:sz w:val="28"/>
          <w:szCs w:val="28"/>
          <w:lang w:val="en-US" w:eastAsia="zh-Hans"/>
        </w:rPr>
        <w:t>学号-作者姓名</w:t>
      </w:r>
      <w:r>
        <w:rPr>
          <w:rFonts w:hint="default" w:ascii="仿宋_GB2312" w:eastAsia="仿宋_GB2312"/>
          <w:sz w:val="28"/>
          <w:szCs w:val="28"/>
          <w:lang w:eastAsia="zh-Hans"/>
        </w:rPr>
        <w:t>-</w:t>
      </w:r>
      <w:r>
        <w:rPr>
          <w:rFonts w:hint="eastAsia" w:ascii="仿宋_GB2312" w:eastAsia="仿宋_GB2312"/>
          <w:sz w:val="28"/>
          <w:szCs w:val="28"/>
          <w:lang w:val="en-US" w:eastAsia="zh-Hans"/>
        </w:rPr>
        <w:t>论文题目</w:t>
      </w:r>
      <w:r>
        <w:rPr>
          <w:rFonts w:hint="eastAsia" w:ascii="仿宋_GB2312" w:eastAsia="仿宋_GB2312"/>
          <w:sz w:val="28"/>
          <w:szCs w:val="28"/>
        </w:rPr>
        <w:t>。文档命名规范填写后，检测报告会正确显示作者姓名和文档标题。如：2018090873-张三</w:t>
      </w:r>
      <w:r>
        <w:rPr>
          <w:rFonts w:hint="default" w:ascii="仿宋_GB2312" w:eastAsia="仿宋_GB2312"/>
          <w:sz w:val="28"/>
          <w:szCs w:val="28"/>
        </w:rPr>
        <w:t>-</w:t>
      </w:r>
      <w:r>
        <w:rPr>
          <w:rFonts w:hint="eastAsia" w:ascii="仿宋_GB2312" w:eastAsia="仿宋_GB2312"/>
          <w:sz w:val="28"/>
          <w:szCs w:val="28"/>
          <w:lang w:val="en-US" w:eastAsia="zh-Hans"/>
        </w:rPr>
        <w:t>以某企业为例</w:t>
      </w:r>
    </w:p>
    <w:p w14:paraId="77EA218D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>4. 检测内容：</w:t>
      </w:r>
      <w:r>
        <w:rPr>
          <w:rFonts w:hint="eastAsia" w:ascii="仿宋_GB2312" w:eastAsia="仿宋_GB2312"/>
          <w:sz w:val="28"/>
          <w:szCs w:val="28"/>
          <w:highlight w:val="none"/>
        </w:rPr>
        <w:t>上传的论文为完整的论文文档，包含封面、目录、摘要、关键词、正文、参考文献、致谢、附录等所有部分。在文本格式被正确识别的情况下，系统只检测中英文摘要、正文部分。</w:t>
      </w:r>
    </w:p>
    <w:p w14:paraId="60BC60AB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bookmarkStart w:id="1" w:name="_二、引用部分格式规范："/>
      <w:bookmarkEnd w:id="1"/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  <w:t>引用部分格式规范：</w:t>
      </w:r>
    </w:p>
    <w:p w14:paraId="1200853A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识别方式：正确标注引用部分后，系统会识别出引用部分，并标为黄色。</w:t>
      </w:r>
    </w:p>
    <w:p w14:paraId="28BB603A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sz w:val="28"/>
          <w:szCs w:val="28"/>
        </w:rPr>
        <w:t>引用尾注样式示范：</w:t>
      </w:r>
    </w:p>
    <w:p w14:paraId="5E995F4C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脚注，上角标 “数字”。如维普论文检测系统5</w:t>
      </w:r>
    </w:p>
    <w:p w14:paraId="076320E0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脚注，上角标“带圈数字”。如维普论文检测系统</w:t>
      </w:r>
      <w:r>
        <w:rPr>
          <w:rFonts w:hint="eastAsia" w:ascii="仿宋_GB2312" w:eastAsia="仿宋_GB2312"/>
          <w:sz w:val="28"/>
          <w:szCs w:val="28"/>
        </w:rPr>
        <w:fldChar w:fldCharType="begin"/>
      </w:r>
      <w:r>
        <w:rPr>
          <w:rFonts w:hint="eastAsia" w:ascii="仿宋_GB2312" w:eastAsia="仿宋_GB2312"/>
          <w:sz w:val="28"/>
          <w:szCs w:val="28"/>
        </w:rPr>
        <w:instrText xml:space="preserve"> eq \o\ac(○,1)</w:instrText>
      </w:r>
      <w:r>
        <w:rPr>
          <w:rFonts w:hint="eastAsia" w:ascii="仿宋_GB2312" w:eastAsia="仿宋_GB2312"/>
          <w:sz w:val="28"/>
          <w:szCs w:val="28"/>
        </w:rPr>
        <w:fldChar w:fldCharType="end"/>
      </w:r>
    </w:p>
    <w:p w14:paraId="697E3B17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一般引用，上角标。如维普论文检测系统[5]</w:t>
      </w:r>
    </w:p>
    <w:p w14:paraId="42C7644E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一般引用，标注。如维普论文检测系统[5]</w:t>
      </w:r>
    </w:p>
    <w:p w14:paraId="4FE422F0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其他引用，引号+标注。如“维普论文检测系统”[5]</w:t>
      </w:r>
    </w:p>
    <w:p w14:paraId="17356CA5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bookmarkStart w:id="2" w:name="_3.引用部分进行标注并不能达到降重的效果，总相似比=复写率+引用率。"/>
      <w:bookmarkEnd w:id="2"/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.引用部分进行标注并不能达到降重的效果，引用率也计为总相似比之内</w:t>
      </w:r>
    </w:p>
    <w:p w14:paraId="279B2873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  <w:t>参考文献格式规范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Hans"/>
        </w:rPr>
        <w:t>：</w:t>
      </w:r>
    </w:p>
    <w:p w14:paraId="03FEC63B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1.识别方式：请按照“中华人民共和国国家标准GB/T7714-2015文后参考文献著录规则”进行参考文献书写。如格式正确不影响系统识别，则“参考文献”之后的内容都不会被检测。</w:t>
      </w:r>
    </w:p>
    <w:p w14:paraId="4A8C223E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2.参考文献标准格式示范</w:t>
      </w:r>
    </w:p>
    <w:p w14:paraId="7752628A"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参考文献部分所有符号半角英文状态手动输入。 </w:t>
      </w:r>
    </w:p>
    <w:p w14:paraId="4D030397">
      <w:pPr>
        <w:widowControl/>
        <w:spacing w:before="100" w:beforeAutospacing="1" w:after="100" w:afterAutospacing="1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4"/>
        </w:rPr>
        <w:t>例：</w:t>
      </w:r>
    </w:p>
    <w:p w14:paraId="3DBE9502">
      <w:pPr>
        <w:widowControl/>
        <w:spacing w:before="100" w:beforeAutospacing="1" w:after="100" w:afterAutospacing="1"/>
        <w:contextualSpacing/>
        <w:jc w:val="center"/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</w:pPr>
      <w:r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  <w:t>参考文献</w:t>
      </w:r>
    </w:p>
    <w:p w14:paraId="7376E453">
      <w:pPr>
        <w:widowControl/>
        <w:spacing w:before="100" w:beforeAutospacing="1" w:after="100" w:afterAutospacing="1"/>
        <w:contextualSpacing/>
        <w:jc w:val="left"/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</w:pPr>
      <w:r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  <w:t>[1]王敏,于英.垃圾车司机座椅振动舒适性评价[J].专用汽车,2008(3):56-57.</w:t>
      </w:r>
    </w:p>
    <w:p w14:paraId="4FA09B8F">
      <w:pPr>
        <w:widowControl/>
        <w:spacing w:before="100" w:beforeAutospacing="1" w:after="100" w:afterAutospacing="1"/>
        <w:contextualSpacing/>
        <w:jc w:val="left"/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</w:pPr>
      <w:r>
        <w:rPr>
          <w:rFonts w:hint="eastAsia" w:ascii="华文楷体" w:hAnsi="华文楷体" w:eastAsia="华文楷体" w:cs="华文楷体"/>
          <w:color w:val="000000"/>
          <w:kern w:val="0"/>
          <w:sz w:val="28"/>
          <w:szCs w:val="24"/>
        </w:rPr>
        <w:t>[2]丁玉庆,过永德.货车车身及司机座椅频域响应计算方法[J].华北工学院学报,1995,16(2):139-146.</w:t>
      </w:r>
    </w:p>
    <w:p w14:paraId="77E42DA0">
      <w:pPr>
        <w:widowControl/>
        <w:spacing w:before="100" w:beforeAutospacing="1" w:after="100" w:afterAutospacing="1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4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8"/>
          <w:szCs w:val="24"/>
        </w:rPr>
        <w:t xml:space="preserve">    3.致谢、注释、附录请按照学校的要求书写，格式正确识别后，这几个部分不参与检测。</w:t>
      </w:r>
    </w:p>
    <w:p w14:paraId="277652F9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  <w:t>检测范围</w:t>
      </w:r>
    </w:p>
    <w:p w14:paraId="670D0D31"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对比资源库：</w:t>
      </w:r>
    </w:p>
    <w:tbl>
      <w:tblPr>
        <w:tblStyle w:val="3"/>
        <w:tblW w:w="8520" w:type="dxa"/>
        <w:jc w:val="right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6570"/>
      </w:tblGrid>
      <w:tr w14:paraId="43E1E3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 w14:paraId="179447F3"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252525"/>
                <w:kern w:val="0"/>
                <w:sz w:val="28"/>
                <w:szCs w:val="28"/>
              </w:rPr>
              <w:t>比对数据库</w:t>
            </w:r>
          </w:p>
        </w:tc>
        <w:tc>
          <w:tcPr>
            <w:tcW w:w="6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 w14:paraId="2C1A4D67">
            <w:pPr>
              <w:widowControl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252525"/>
                <w:kern w:val="0"/>
                <w:sz w:val="28"/>
                <w:szCs w:val="28"/>
              </w:rPr>
              <w:t>数据库简介</w:t>
            </w:r>
          </w:p>
        </w:tc>
      </w:tr>
      <w:tr w14:paraId="601C98C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4D9590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中文期刊论文库</w:t>
            </w:r>
          </w:p>
        </w:tc>
        <w:tc>
          <w:tcPr>
            <w:tcW w:w="6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E04527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涵盖中国期刊论文网络数据库、中文科技期刊数据库、中文重要学术期刊库、中文重要学术期刊库、中国重要社科期刊库、中国重要文科期刊库、中国中文报刊报纸数据库等</w:t>
            </w:r>
          </w:p>
        </w:tc>
      </w:tr>
      <w:tr w14:paraId="2822C4E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E639F1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硕博学位论文库</w:t>
            </w:r>
          </w:p>
        </w:tc>
        <w:tc>
          <w:tcPr>
            <w:tcW w:w="6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 w14:paraId="6D6B45D5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涵盖中国学位论文数据库、中国硕博论文数据库、中国优秀硕博论文数据库</w:t>
            </w:r>
          </w:p>
        </w:tc>
      </w:tr>
      <w:tr w14:paraId="4262FDE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3BD651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高校特色论文库</w:t>
            </w:r>
          </w:p>
        </w:tc>
        <w:tc>
          <w:tcPr>
            <w:tcW w:w="6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 w14:paraId="11417DDC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涵盖部分高校共享的论文资源等</w:t>
            </w:r>
          </w:p>
        </w:tc>
      </w:tr>
      <w:tr w14:paraId="369787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0845F9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互联网数据资源</w:t>
            </w:r>
          </w:p>
        </w:tc>
        <w:tc>
          <w:tcPr>
            <w:tcW w:w="6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 w14:paraId="2D95CB92">
            <w:pPr>
              <w:widowControl/>
              <w:spacing w:before="100" w:beforeAutospacing="1" w:after="100" w:afterAutospacing="1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涵盖数十亿互联网数据资源 </w:t>
            </w:r>
          </w:p>
        </w:tc>
      </w:tr>
    </w:tbl>
    <w:p w14:paraId="3695B3F9">
      <w:pPr>
        <w:rPr>
          <w:rFonts w:hint="eastAsia" w:ascii="仿宋" w:hAnsi="仿宋" w:eastAsia="仿宋" w:cs="仿宋"/>
          <w:sz w:val="28"/>
          <w:szCs w:val="28"/>
        </w:rPr>
      </w:pPr>
    </w:p>
    <w:p w14:paraId="1EEC3FFD">
      <w:pPr>
        <w:pStyle w:val="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00" w:lineRule="auto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Hans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Hans"/>
        </w:rPr>
        <w:t>维普定制服务</w:t>
      </w:r>
    </w:p>
    <w:p w14:paraId="7D535D82">
      <w:pPr>
        <w:widowControl/>
        <w:spacing w:before="100" w:beforeAutospacing="1" w:after="100" w:afterAutospacing="1"/>
        <w:contextualSpacing/>
        <w:jc w:val="left"/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维普官方自检通道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"https://vpcs.fanyu.com/personal/hhu" </w:instrTex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fldChar w:fldCharType="separate"/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https://vpcs.fanyu.com/personal/h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h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u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fldChar w:fldCharType="end"/>
      </w:r>
    </w:p>
    <w:p w14:paraId="7256796D">
      <w:pPr>
        <w:widowControl/>
        <w:spacing w:before="100" w:beforeAutospacing="1" w:after="100" w:afterAutospacing="1"/>
        <w:contextualSpacing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此入口为学生初检预查重使用，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应用场景为学生写作过程中以及提交定稿前预检测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在送检文档一致的前提下自检地址查重结果与机构检测一致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本通道为付费服务需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通过手机号注册后登录使用，费用为维普公司直接收取。</w:t>
      </w:r>
    </w:p>
    <w:p w14:paraId="44A20A42">
      <w:pPr>
        <w:widowControl/>
        <w:numPr>
          <w:ilvl w:val="0"/>
          <w:numId w:val="0"/>
        </w:numPr>
        <w:spacing w:before="100" w:beforeAutospacing="1" w:after="100" w:afterAutospacing="1"/>
        <w:contextualSpacing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维普检测提供24小时线上咨询服务，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Hans"/>
        </w:rPr>
        <w:t>如有问题请在学生问题服务QQ群提问</w:t>
      </w:r>
    </w:p>
    <w:p w14:paraId="558540BF">
      <w:pPr>
        <w:widowControl/>
        <w:numPr>
          <w:ilvl w:val="0"/>
          <w:numId w:val="0"/>
        </w:numPr>
        <w:spacing w:before="100" w:beforeAutospacing="1" w:after="100" w:afterAutospacing="1"/>
        <w:contextualSpacing/>
        <w:jc w:val="center"/>
        <w:rPr>
          <w:rFonts w:hint="default" w:ascii="宋体" w:hAnsi="宋体"/>
          <w:color w:val="000000"/>
          <w:sz w:val="24"/>
          <w:lang w:val="en-US" w:eastAsia="zh-Hans"/>
        </w:rPr>
      </w:pPr>
      <w:r>
        <w:drawing>
          <wp:inline distT="0" distB="0" distL="114300" distR="114300">
            <wp:extent cx="2752090" cy="3155315"/>
            <wp:effectExtent l="0" t="0" r="10160" b="698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768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C9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F60869"/>
    <w:multiLevelType w:val="singleLevel"/>
    <w:tmpl w:val="48F608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53653"/>
    <w:rsid w:val="7EB5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_Style 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2026-04-30T09:14:00Z</dcterms:created>
  <dc:creator>Administrator</dc:creator>
  <cp:lastModifiedBy>Administrator</cp:lastModifiedBy>
  <dcterms:modified xsi:type="dcterms:W3CDTF">2026-04-30T09:14:59Z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FB569FF7541340A3AD49CE7E250C24C3_11</vt:lpwstr>
  </property>
  <property fmtid="{D5CDD505-2E9C-101B-9397-08002B2CF9AE}" pid="4" name="KSOTemplateDocerSaveRecord">
    <vt:lpwstr>eyJoZGlkIjoiZWY0NDEzMmEyZWZmOTVhYjIwM2M4NjRiNDAyZTE4ZjciLCJ1c2VySWQiOiI0ODUwMTUwOTIifQ==</vt:lpwstr>
  </property>
</Properties>
</file>